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r w:rsidRPr="00E668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Obrazac za prikupljanje podataka o postupcima koji se odnose na restrukturiranje, nesolventnost i otpust duga </w:t>
      </w:r>
    </w:p>
    <w:bookmarkEnd w:id="0"/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5231"/>
        <w:gridCol w:w="3255"/>
      </w:tblGrid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 dužnika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troškova postupka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priznatih tražbina vjerovnika osiguranih tražbina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priznatih tražbina vjerovnika neosiguranih tražbina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naplaćenih tražbina vjerovnika osiguranih tražbina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rPr>
          <w:trHeight w:val="599"/>
        </w:trPr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naplaćenih tražbina vjerovnika neosiguranih tražbina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naplaćenih troškova postupka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osporenih tražbina o kojima se vodi parnični postupak radi utvrđenja osnovanosti tražbine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68CD" w:rsidRPr="00E668CD" w:rsidTr="000210E1">
        <w:tc>
          <w:tcPr>
            <w:tcW w:w="576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231" w:type="dxa"/>
          </w:tcPr>
          <w:p w:rsidR="00E668CD" w:rsidRPr="00E668CD" w:rsidRDefault="00E668CD" w:rsidP="00E668CD">
            <w:pPr>
              <w:spacing w:before="100" w:beforeAutospacing="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6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krajnji datum za ispunjenje tražbina u skladu s planom restrukturiranja, stečajnim planom ili nagodbom (ako je primjenjivo)</w:t>
            </w:r>
          </w:p>
        </w:tc>
        <w:tc>
          <w:tcPr>
            <w:tcW w:w="3255" w:type="dxa"/>
          </w:tcPr>
          <w:p w:rsidR="00E668CD" w:rsidRPr="00E668CD" w:rsidRDefault="00E668CD" w:rsidP="00E668CD">
            <w:pPr>
              <w:spacing w:before="100" w:before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68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Napomena: </w:t>
      </w:r>
    </w:p>
    <w:p w:rsidR="00E668CD" w:rsidRPr="00E668CD" w:rsidRDefault="00E668CD" w:rsidP="00E668CD">
      <w:pPr>
        <w:numPr>
          <w:ilvl w:val="0"/>
          <w:numId w:val="1"/>
        </w:num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68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podatke upisuje imenovani stečajni upravitelj, povjerenik ili izvanredni povjerenik </w:t>
      </w:r>
    </w:p>
    <w:p w:rsidR="00E668CD" w:rsidRPr="00E668CD" w:rsidRDefault="00E668CD" w:rsidP="00E668CD">
      <w:pPr>
        <w:numPr>
          <w:ilvl w:val="0"/>
          <w:numId w:val="1"/>
        </w:num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68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iznosi pod točkama 2. do 8. upisuju se u kunama do dana uvođenja eura, a od dana uvođenja eura iznosi se upisuju u eurima</w:t>
      </w:r>
    </w:p>
    <w:p w:rsidR="00E668CD" w:rsidRPr="00E668CD" w:rsidRDefault="00E668CD" w:rsidP="00E668CD">
      <w:pPr>
        <w:numPr>
          <w:ilvl w:val="0"/>
          <w:numId w:val="1"/>
        </w:num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68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 točkom 9. upisuje se krajnji datum za ispunjenje tražbine u slučaju kada je sud potvrdio plan restrukturiranja, stečajni plan odnosno nagodbu</w:t>
      </w:r>
    </w:p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Pr="00E668CD" w:rsidRDefault="00E668CD" w:rsidP="00E668CD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668CD" w:rsidRPr="00E668CD" w:rsidRDefault="00E668CD" w:rsidP="00E668CD">
      <w:pPr>
        <w:spacing w:before="100" w:beforeAutospacing="1" w:after="0" w:line="240" w:lineRule="auto"/>
        <w:ind w:left="5664"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73AD7" w:rsidRDefault="00473AD7"/>
    <w:sectPr w:rsidR="0047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A27"/>
    <w:multiLevelType w:val="hybridMultilevel"/>
    <w:tmpl w:val="F112ECFA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CD"/>
    <w:rsid w:val="00224B58"/>
    <w:rsid w:val="00473AD7"/>
    <w:rsid w:val="00615EA1"/>
    <w:rsid w:val="00E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EB38-440F-40D1-BABB-40B5D8E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i uprave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Bokulić</dc:creator>
  <cp:keywords/>
  <dc:description/>
  <cp:lastModifiedBy>Ivana Čukman-Batinić</cp:lastModifiedBy>
  <cp:revision>2</cp:revision>
  <dcterms:created xsi:type="dcterms:W3CDTF">2022-04-03T12:25:00Z</dcterms:created>
  <dcterms:modified xsi:type="dcterms:W3CDTF">2022-04-03T12:25:00Z</dcterms:modified>
</cp:coreProperties>
</file>